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350"/>
        <w:gridCol w:w="198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0AC37FAB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AD6BFC">
              <w:t>JUNE</w:t>
            </w:r>
            <w:r>
              <w:t xml:space="preserve"> 20</w:t>
            </w:r>
            <w:r w:rsidR="005815C6">
              <w:t>2</w:t>
            </w:r>
            <w:r w:rsidR="008C621D">
              <w:t>2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761C1C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D741AE">
        <w:trPr>
          <w:trHeight w:val="5777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928837" w14:textId="444CB192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1.5% p.a.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Interest is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ac</w:t>
            </w:r>
            <w:r w:rsidR="00EE3D6F">
              <w:rPr>
                <w:rFonts w:asciiTheme="minorHAnsi" w:hAnsiTheme="minorHAnsi"/>
                <w:sz w:val="18"/>
                <w:szCs w:val="18"/>
              </w:rPr>
              <w:t>cr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ued monthly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on a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or above and it is paid on 31 December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each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year. 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0233A4">
              <w:rPr>
                <w:rFonts w:asciiTheme="minorHAnsi" w:hAnsiTheme="minorHAnsi"/>
                <w:sz w:val="18"/>
                <w:szCs w:val="18"/>
              </w:rPr>
              <w:t xml:space="preserve">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.00 - $499.00 – 1.0%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$500.00 - $999.00 – 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$1000 and more – 2.0%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D741AE">
        <w:trPr>
          <w:trHeight w:val="144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2AA68DA" w14:textId="249FE4A6" w:rsidR="00A94A62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Samoa Super Saver </w:t>
            </w:r>
            <w:r w:rsidR="00866B36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50A9926C" w14:textId="4870A612" w:rsidR="00866B36" w:rsidRPr="000233A4" w:rsidRDefault="00866B36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Pension Account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D741AE">
        <w:trPr>
          <w:trHeight w:val="89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35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22584F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241A06" w14:textId="53138CBE" w:rsidR="008C621D" w:rsidRDefault="008C621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upon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approval)</w:t>
            </w:r>
          </w:p>
        </w:tc>
        <w:tc>
          <w:tcPr>
            <w:tcW w:w="1800" w:type="dxa"/>
            <w:vAlign w:val="center"/>
          </w:tcPr>
          <w:p w14:paraId="4F5EEF46" w14:textId="1161873D" w:rsidR="00B319EF" w:rsidRPr="000233A4" w:rsidRDefault="006C1137" w:rsidP="00D74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761C1C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3D4AC982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per deposit and $4 per withdrawal where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any 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  <w:r w:rsidR="007A06C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3A04B8B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4C2B2B12" w14:textId="77777777"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1C804A03" w14:textId="2FB5B6AD" w:rsidR="00A94A62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Samoa Super Saver </w:t>
            </w:r>
            <w:r w:rsidR="00866B36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2F203439" w14:textId="531700AD" w:rsidR="00866B36" w:rsidRPr="000233A4" w:rsidRDefault="00866B36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Pension Account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761C1C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761C1C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4C7696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761C1C">
        <w:trPr>
          <w:trHeight w:val="10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672B0BE0" w:rsidR="00A359B7" w:rsidRPr="003E0E45" w:rsidRDefault="007A06C3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3938A6BA" w:rsidR="00A359B7" w:rsidRPr="00240411" w:rsidRDefault="00EB2CD8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$2.00 per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transction</w:t>
            </w:r>
            <w:proofErr w:type="spellEnd"/>
          </w:p>
        </w:tc>
      </w:tr>
      <w:tr w:rsidR="00AB018D" w:rsidRPr="000D2CE2" w14:paraId="6AC8B8D2" w14:textId="77777777" w:rsidTr="004C7696">
        <w:trPr>
          <w:trHeight w:val="177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761C1C">
        <w:trPr>
          <w:trHeight w:val="155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6F213BA8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  <w:r w:rsidR="007B010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0C097F9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761C1C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3EB2011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FC5797">
        <w:trPr>
          <w:trHeight w:val="28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A414648" w14:textId="3FE94280" w:rsidR="00AB018D" w:rsidRDefault="00D16FD5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03848C10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6B7CD1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19AEFD7" w14:textId="1DFE20A0" w:rsidR="00AB018D" w:rsidRPr="00DC1B4B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2326C4">
        <w:trPr>
          <w:trHeight w:val="3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2326C4">
        <w:trPr>
          <w:trHeight w:val="21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08905140" w:rsidR="004C7EDA" w:rsidRPr="00240411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+ 3.0% bonus if no w/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4C7696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3AE4D520" w:rsidR="007D5B03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0FA05E4F" w14:textId="1468DAB9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159B9FE2" w14:textId="77777777" w:rsidR="00D15632" w:rsidRPr="00496158" w:rsidRDefault="00D1563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F02B6" w14:textId="1599DA34" w:rsidR="0014729D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31998E4F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BC8AE8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56908DD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7443CBA2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9BBEA29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039AA0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70EAB51" w14:textId="730C76E2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03F19770" w14:textId="77777777" w:rsid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760AB905" w14:textId="77777777" w:rsidR="00D15632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6CEF2933" w14:textId="664B6912" w:rsidR="00D15632" w:rsidRPr="00DB63A4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73D33DD4" w:rsidR="00DB63A4" w:rsidRPr="00496158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61C1C">
              <w:rPr>
                <w:rFonts w:asciiTheme="minorHAnsi" w:hAnsiTheme="minorHAnsi"/>
                <w:sz w:val="18"/>
                <w:szCs w:val="18"/>
              </w:rPr>
              <w:t>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</w:t>
            </w:r>
            <w:proofErr w:type="spellStart"/>
            <w:r w:rsidR="00D60ACF"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 w:rsidR="00D60ACF">
              <w:rPr>
                <w:rFonts w:asciiTheme="minorHAnsi" w:hAnsiTheme="minorHAnsi"/>
                <w:sz w:val="18"/>
                <w:szCs w:val="18"/>
              </w:rPr>
              <w:t xml:space="preserve">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Normal cheque account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account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2326C4">
        <w:trPr>
          <w:trHeight w:val="206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0EFDE46F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8. Government Ac</w:t>
            </w:r>
            <w:r w:rsidR="006B7CD1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</w:t>
            </w: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ount/Non-Monetary</w:t>
            </w:r>
          </w:p>
          <w:p w14:paraId="4F7CAC5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21DA2E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</w:t>
            </w:r>
          </w:p>
          <w:p w14:paraId="1AACECCC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3E0961ED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Deposit fee</w:t>
            </w:r>
          </w:p>
          <w:p w14:paraId="6005728D" w14:textId="331693A8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Withdrawal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7C0546DB" w14:textId="4E46B3ED" w:rsidR="00EF5F3F" w:rsidRDefault="00EF5F3F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FC5797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9. BSP First</w:t>
            </w:r>
          </w:p>
          <w:p w14:paraId="2036F8FD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EA96BFB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Overdraft limit (access to Visa Silver card)</w:t>
            </w:r>
          </w:p>
          <w:p w14:paraId="22B612C8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Interest rate on OD</w:t>
            </w:r>
          </w:p>
          <w:p w14:paraId="50381036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Monthly service fee</w:t>
            </w:r>
          </w:p>
          <w:p w14:paraId="70C8B7C1" w14:textId="1DF998BD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LAC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CE4A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53770" w14:textId="275CC72C" w:rsidR="00EF5F3F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D51B81B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291048" w14:textId="08DB45D8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5F131C94" w14:textId="7B3C3192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469A76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AC8CC5" w14:textId="28BF7A33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</w:t>
            </w:r>
            <w:r w:rsidR="001069F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3FA5C96E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2326C4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C61BA16" w14:textId="3FC06A13" w:rsidR="00EF5F3F" w:rsidRPr="00A35C79" w:rsidRDefault="008F7EDE" w:rsidP="00FC579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10</w:t>
            </w:r>
            <w:r w:rsidR="00EF5F3F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CCA – Oceanic Communication Ltd</w:t>
            </w:r>
          </w:p>
          <w:p w14:paraId="4900A882" w14:textId="77777777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4F0953A0" w14:textId="4EBCCCEF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rates</w:t>
            </w:r>
          </w:p>
          <w:p w14:paraId="3C0EBFC5" w14:textId="1CDFC555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FA1FC69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06BA80B" w14:textId="145D1A45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52C57F8A" w14:textId="7DBAACFE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D8B80A2" w14:textId="6BD2CA80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AF6FE3" w14:textId="356413C8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B57C1F6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16B33A7" w14:textId="69A2CF71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Manual transaction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6C5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E9AB5E" w14:textId="53765DB9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7EF66CE7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2.0% p.a. on min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month.</w:t>
            </w:r>
          </w:p>
          <w:p w14:paraId="58561C8E" w14:textId="1C6C930B" w:rsidR="008F7EDE" w:rsidRDefault="008F7EDE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4321A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761C1C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761C1C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761C1C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22365872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77777777"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630"/>
        <w:gridCol w:w="1080"/>
        <w:gridCol w:w="630"/>
        <w:gridCol w:w="1170"/>
        <w:gridCol w:w="540"/>
        <w:gridCol w:w="1377"/>
        <w:gridCol w:w="243"/>
        <w:gridCol w:w="1530"/>
        <w:gridCol w:w="180"/>
      </w:tblGrid>
      <w:tr w:rsidR="00AB018D" w:rsidRPr="000D2CE2" w14:paraId="2EBF0022" w14:textId="77777777" w:rsidTr="00D741AE">
        <w:trPr>
          <w:gridAfter w:val="1"/>
          <w:wAfter w:w="180" w:type="dxa"/>
          <w:cantSplit/>
          <w:trHeight w:val="360"/>
        </w:trPr>
        <w:tc>
          <w:tcPr>
            <w:tcW w:w="9720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D741AE">
        <w:trPr>
          <w:gridAfter w:val="1"/>
          <w:wAfter w:w="180" w:type="dxa"/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D741AE">
        <w:trPr>
          <w:gridAfter w:val="1"/>
          <w:wAfter w:w="180" w:type="dxa"/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gridSpan w:val="2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gridSpan w:val="2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gridSpan w:val="2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D741AE">
        <w:trPr>
          <w:gridAfter w:val="1"/>
          <w:wAfter w:w="180" w:type="dxa"/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gridSpan w:val="2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gridSpan w:val="2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gridSpan w:val="2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D741AE">
        <w:trPr>
          <w:gridAfter w:val="1"/>
          <w:wAfter w:w="180" w:type="dxa"/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gridSpan w:val="2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gridSpan w:val="2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D741AE">
        <w:trPr>
          <w:gridAfter w:val="1"/>
          <w:wAfter w:w="180" w:type="dxa"/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gridSpan w:val="2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gridSpan w:val="2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D741AE">
        <w:trPr>
          <w:gridAfter w:val="1"/>
          <w:wAfter w:w="180" w:type="dxa"/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gridSpan w:val="2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gridSpan w:val="2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gridSpan w:val="2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D741AE">
        <w:trPr>
          <w:gridAfter w:val="1"/>
          <w:wAfter w:w="180" w:type="dxa"/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gridSpan w:val="2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gridSpan w:val="2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D741AE">
        <w:trPr>
          <w:gridAfter w:val="1"/>
          <w:wAfter w:w="180" w:type="dxa"/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gridSpan w:val="2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gridSpan w:val="2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gridSpan w:val="2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hr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 xml:space="preserve">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D741AE">
        <w:trPr>
          <w:gridAfter w:val="1"/>
          <w:wAfter w:w="180" w:type="dxa"/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511929B" w14:textId="77777777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D741AE">
        <w:trPr>
          <w:gridAfter w:val="1"/>
          <w:wAfter w:w="180" w:type="dxa"/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gridSpan w:val="2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gridSpan w:val="2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gridSpan w:val="2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D741AE">
        <w:trPr>
          <w:gridAfter w:val="1"/>
          <w:wAfter w:w="180" w:type="dxa"/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  <w:gridSpan w:val="2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  <w:gridSpan w:val="2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  <w:gridSpan w:val="2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D741AE">
        <w:trPr>
          <w:gridAfter w:val="1"/>
          <w:wAfter w:w="180" w:type="dxa"/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p/</w:t>
            </w:r>
            <w:proofErr w:type="spellStart"/>
            <w:r w:rsidR="001D166C"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 w:rsidR="001D16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866B36" w:rsidRPr="000D2CE2" w14:paraId="1E3AF281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EF62162" w14:textId="086DC6A9" w:rsidR="00866B36" w:rsidRDefault="00866B36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 Special Authority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36B6E80" w14:textId="00665600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B7B080B" w14:textId="58EC2994" w:rsidR="00866B36" w:rsidRPr="001017FD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29F06092" w14:textId="464D6A60" w:rsidR="00866B36" w:rsidRPr="000233A4" w:rsidRDefault="00866B36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when a customer at overseas request to withdraw or transfer funds to another account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B57AF6" w14:textId="77777777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06EA1E7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0AE70C0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D741AE">
        <w:trPr>
          <w:gridAfter w:val="1"/>
          <w:wAfter w:w="180" w:type="dxa"/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D89EBA9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1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pymt</w:t>
            </w:r>
            <w:proofErr w:type="spellEnd"/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cheq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B23912" w:rsidRPr="000D2CE2" w14:paraId="21FF5D29" w14:textId="77777777" w:rsidTr="00D741AE">
        <w:trPr>
          <w:trHeight w:val="450"/>
        </w:trPr>
        <w:tc>
          <w:tcPr>
            <w:tcW w:w="315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D741AE">
        <w:trPr>
          <w:trHeight w:val="53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D741AE">
        <w:trPr>
          <w:trHeight w:val="242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20BCD755" w:rsidR="00B23912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52BC6650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E20F4B">
              <w:rPr>
                <w:rFonts w:asciiTheme="minorHAnsi" w:hAnsiTheme="minorHAnsi"/>
                <w:sz w:val="18"/>
                <w:szCs w:val="18"/>
              </w:rPr>
              <w:t>00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14:paraId="4F821A27" w14:textId="77777777" w:rsidTr="00D741AE">
        <w:trPr>
          <w:trHeight w:val="395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6EFE1" w14:textId="77777777"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D1D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6D7A" w14:textId="77777777"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8FED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55030" w14:textId="6B40778C" w:rsidR="00EF3887" w:rsidRPr="00240411" w:rsidRDefault="00EF3887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2F5D1FDD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77777777"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848D90A" w:rsidR="00B23912" w:rsidRPr="00240411" w:rsidRDefault="00E20F4B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2.25%</w:t>
            </w:r>
          </w:p>
        </w:tc>
      </w:tr>
      <w:tr w:rsidR="00EF3887" w:rsidRPr="000D2CE2" w14:paraId="2F3C37CB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29C3163" w14:textId="77777777"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5D1C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D337" w14:textId="77777777"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A8DE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FD15DA" w14:textId="472B86D9" w:rsidR="00EF3887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Same as above</w:t>
            </w:r>
          </w:p>
        </w:tc>
      </w:tr>
      <w:tr w:rsidR="00B23912" w:rsidRPr="000D2CE2" w14:paraId="76C35D9E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7777777"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25AE6291" w:rsidR="00B23912" w:rsidRPr="00240411" w:rsidRDefault="00E20F4B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D741AE">
        <w:trPr>
          <w:trHeight w:val="440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D741AE">
        <w:trPr>
          <w:trHeight w:val="422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D741AE">
        <w:trPr>
          <w:trHeight w:val="548"/>
        </w:trPr>
        <w:tc>
          <w:tcPr>
            <w:tcW w:w="9900" w:type="dxa"/>
            <w:gridSpan w:val="10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77777777" w:rsidR="00C02CBA" w:rsidRDefault="00C02CBA"/>
    <w:p w14:paraId="7FB2EDB9" w14:textId="1D74B772" w:rsidR="008F5E15" w:rsidRDefault="008F5E15"/>
    <w:p w14:paraId="21AE5CD8" w14:textId="77777777" w:rsidR="002326C4" w:rsidRDefault="002326C4"/>
    <w:p w14:paraId="7E26C8FD" w14:textId="30F98FF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14EF98BD" w:rsidR="00747863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 -  up to $100.00</w:t>
            </w:r>
          </w:p>
          <w:p w14:paraId="46C34029" w14:textId="22B944CA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 -  $101.00 up to $500.00</w:t>
            </w:r>
          </w:p>
          <w:p w14:paraId="3890CB81" w14:textId="4B9995AD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 -  $501.00 up to $1,000.00</w:t>
            </w:r>
          </w:p>
          <w:p w14:paraId="5E0FF506" w14:textId="495F8F02" w:rsidR="009825E7" w:rsidRPr="000233A4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 -  &gt;$1,001.00</w:t>
            </w: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2E08089A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</w:t>
            </w:r>
            <w:r w:rsidR="00E20F4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575EDA">
              <w:rPr>
                <w:rFonts w:asciiTheme="minorHAnsi" w:hAnsiTheme="minorHAnsi"/>
                <w:sz w:val="18"/>
                <w:szCs w:val="18"/>
              </w:rPr>
              <w:t>dls</w:t>
            </w:r>
            <w:proofErr w:type="spellEnd"/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2B9BA4DF" w:rsidR="00AB018D" w:rsidRPr="00C61002" w:rsidRDefault="00D5615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77777777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5A255753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56157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="00B62DE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 xml:space="preserve">Repeat </w:t>
            </w:r>
            <w:proofErr w:type="spellStart"/>
            <w:r w:rsidR="001A728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33C9D79B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56157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Diskpay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26DA3C29" w:rsidR="00AB018D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 – process to other banks</w:t>
            </w:r>
          </w:p>
          <w:p w14:paraId="1D42B2E9" w14:textId="49CDE795" w:rsidR="00E20F4B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 – Late fee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stmt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daily,weekly,f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/nightly,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14:paraId="59B0C395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35F53C0B" w14:textId="77777777"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C0D404C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43687655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99062BD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328A78E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14:paraId="6C8C4CDD" w14:textId="77777777" w:rsidTr="00DC5C35">
        <w:trPr>
          <w:trHeight w:val="530"/>
        </w:trPr>
        <w:tc>
          <w:tcPr>
            <w:tcW w:w="3240" w:type="dxa"/>
            <w:tcBorders>
              <w:top w:val="nil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EB2CD8">
        <w:trPr>
          <w:trHeight w:val="116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EB2CD8">
        <w:trPr>
          <w:trHeight w:val="53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EB2CD8">
        <w:trPr>
          <w:trHeight w:val="80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1B0A9ADD" w:rsidR="007B2DB7" w:rsidRPr="00C61002" w:rsidRDefault="007B2DB7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50B469C" w14:textId="77777777" w:rsidTr="00EB2CD8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CCDFA62" w14:textId="4BCC184B" w:rsidR="00AA5749" w:rsidRPr="00C61002" w:rsidRDefault="007B2DB7" w:rsidP="003263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</w:tc>
      </w:tr>
      <w:tr w:rsidR="007B2DB7" w:rsidRPr="000D2CE2" w14:paraId="3480DE0F" w14:textId="77777777" w:rsidTr="00A35C79">
        <w:trPr>
          <w:trHeight w:val="10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3263DB">
        <w:trPr>
          <w:trHeight w:val="75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5F533CBA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44858EFB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A35C79">
        <w:trPr>
          <w:trHeight w:val="485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EB2CD8">
        <w:trPr>
          <w:trHeight w:val="132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7351F0F5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/>
                <w:sz w:val="18"/>
                <w:szCs w:val="18"/>
              </w:rPr>
              <w:t>5</w:t>
            </w:r>
            <w:r w:rsidR="003C4B51">
              <w:rPr>
                <w:rFonts w:asciiTheme="minorHAnsi" w:hAnsiTheme="minorHAnsi"/>
                <w:sz w:val="18"/>
                <w:szCs w:val="18"/>
              </w:rPr>
              <w:t>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5344032" w14:textId="7C798B27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Business OD – </w:t>
            </w:r>
            <w:r w:rsidR="00C32F7C">
              <w:rPr>
                <w:rFonts w:asciiTheme="minorHAnsi" w:hAnsiTheme="minorHAnsi"/>
                <w:sz w:val="18"/>
                <w:szCs w:val="18"/>
              </w:rPr>
              <w:t>7.95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6EE4365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</w:t>
            </w:r>
            <w:r w:rsidR="003263DB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04C14F8B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1B446A" w:rsidRPr="000D2CE2" w14:paraId="7A4EB20D" w14:textId="77777777" w:rsidTr="00EB2CD8">
        <w:trPr>
          <w:trHeight w:val="93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EB2CD8" w:rsidRPr="00EB2CD8" w14:paraId="6EF61704" w14:textId="77777777" w:rsidTr="00EB2CD8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4003B41" w14:textId="77777777" w:rsidR="00EB2CD8" w:rsidRPr="00EB2CD8" w:rsidRDefault="00EB2CD8" w:rsidP="001B446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7EE0B40" w14:textId="0DE900AE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52325989" w14:textId="5C28A36D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0A1BAF4" w14:textId="52AB8590" w:rsidR="00EB2CD8" w:rsidRPr="00EB2CD8" w:rsidRDefault="00EB2CD8" w:rsidP="00EB2C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78E08D9" w14:textId="5AEB9633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EB2CD8">
        <w:trPr>
          <w:trHeight w:val="150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2520DC48" w:rsidR="009D0CD8" w:rsidRPr="00C7595D" w:rsidRDefault="00C32F7C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limit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E21E3A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379DEBE1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Personal</w:t>
            </w:r>
          </w:p>
          <w:p w14:paraId="4AEB02F5" w14:textId="7B1E8ECA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1B446A" w:rsidRPr="000D2CE2" w14:paraId="42F6D3CF" w14:textId="77777777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14:paraId="29C943EB" w14:textId="77777777"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14:paraId="293F4871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CAE81F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14:paraId="3237DBA2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23F19EC2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644834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D32B08F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AC243C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4FA48D4E" w14:textId="77777777" w:rsidTr="00D82F8B">
        <w:trPr>
          <w:trHeight w:val="287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D82F8B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7F935991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Loan Unsecured (PLU) 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</w:p>
          <w:p w14:paraId="00094806" w14:textId="434C31BA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Asset Loan (PAL) -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CB211" w14:textId="32FDCF54" w:rsidR="001B446A" w:rsidRPr="00E21E3A" w:rsidRDefault="00AE0A26" w:rsidP="00AE70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Property Investment </w:t>
            </w:r>
            <w:r w:rsidR="00EF345B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(PPI) 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7.25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3263DB">
        <w:trPr>
          <w:trHeight w:val="122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EB2CD8">
        <w:trPr>
          <w:trHeight w:val="123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24E02808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54EC5C38" w:rsidR="00386644" w:rsidRPr="00240411" w:rsidRDefault="000030F2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PPI – 2.0% of total approved loan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591E971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E20F4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3263DB">
        <w:trPr>
          <w:trHeight w:val="84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5DEFDEA4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A4780C7" w14:textId="619AAC19" w:rsidR="00E20F4B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  <w:p w14:paraId="03B3968F" w14:textId="70062FE9" w:rsidR="00E20F4B" w:rsidRPr="00FA068F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(&gt;5K&lt;20K)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3263DB">
        <w:trPr>
          <w:trHeight w:val="141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52E014AC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C32F7C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+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7AC3662C" w:rsidR="001B446A" w:rsidRDefault="00A13F16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6.79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7E59BDED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</w:t>
            </w:r>
            <w:r w:rsidR="00D35E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343D4CEB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7.95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30D9E860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–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7.25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207799AF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</w:t>
            </w:r>
            <w:r w:rsidR="008117D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:-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% fixed for 1 year then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6.75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3965B926" w14:textId="0E7CB5B5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539E7E" w14:textId="0ACA7CD3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Commercial Property Investment (CPI) – 7.95% p.a.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0EC51FA8" w:rsidR="001B446A" w:rsidRDefault="003263D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E70B2">
              <w:rPr>
                <w:rFonts w:asciiTheme="minorHAnsi" w:hAnsiTheme="minorHAnsi"/>
                <w:sz w:val="18"/>
                <w:szCs w:val="18"/>
              </w:rPr>
              <w:t>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04C6F450" w:rsidR="001B446A" w:rsidRDefault="003263D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35C79">
        <w:trPr>
          <w:trHeight w:val="208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0AFD5F" w14:textId="4580688B" w:rsidR="009D3C68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 – 2.0% of applied amount or $200 minimum</w:t>
            </w:r>
          </w:p>
          <w:p w14:paraId="088B8D6A" w14:textId="6123BA00" w:rsidR="009D3C68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HLP –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46C9C4CC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41AE">
        <w:trPr>
          <w:trHeight w:val="23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14:paraId="19609354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14:paraId="2900B7B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14:paraId="1B95864F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2483194B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TBL/HLM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D741AE">
        <w:trPr>
          <w:trHeight w:val="2690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D741AE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552755F6" w14:textId="77777777" w:rsidTr="00D1632E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EEEC8A" w14:textId="77777777" w:rsidR="00A35C79" w:rsidRPr="00C61002" w:rsidRDefault="00A35C79" w:rsidP="00D1632E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FF54F22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0E9C5D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358621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B7C5A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3263DB">
        <w:trPr>
          <w:trHeight w:val="77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A35C79">
        <w:trPr>
          <w:trHeight w:val="37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A35C79">
        <w:trPr>
          <w:trHeight w:val="44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A35C79">
        <w:trPr>
          <w:trHeight w:val="206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A35C79">
        <w:trPr>
          <w:trHeight w:val="540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Vailele</w:t>
            </w:r>
            <w:proofErr w:type="spellEnd"/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Vaitele</w:t>
            </w:r>
            <w:proofErr w:type="spellEnd"/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Letogo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Saina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Aleipata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Falealili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Safata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agai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Falelatai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ma le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Tiavi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Siumu</w:t>
            </w:r>
            <w:proofErr w:type="spellEnd"/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Aleisa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Manono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A35C79">
        <w:trPr>
          <w:trHeight w:val="86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A35C79">
        <w:trPr>
          <w:trHeight w:val="62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1BE57009" w14:textId="77777777" w:rsidTr="00D1632E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FFB4BF" w14:textId="77777777" w:rsidR="00A35C79" w:rsidRDefault="00A35C79" w:rsidP="00D163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E40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A601F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7534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5B33F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3263DB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1.0% of undrawn amt (if loan is undrawn in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mths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after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0982CF" w14:textId="77777777" w:rsidTr="00EC2FAB">
        <w:trPr>
          <w:trHeight w:val="485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9A207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Protection of cheques without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3DCBB3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1C9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CC3D" w14:textId="77777777" w:rsidR="001B446A" w:rsidRPr="00D82BAA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EB8A" w14:textId="77777777" w:rsidR="001B446A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DF13DA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53DE2E5B" w14:textId="77777777" w:rsidTr="00D763AD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EC3FB3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Refinance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3A5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E72E" w14:textId="77777777" w:rsidR="001B446A" w:rsidRPr="001017F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9B5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E6307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77777777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$10.00 of ccy – (credit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fx</w:t>
            </w:r>
            <w:proofErr w:type="spellEnd"/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to local banks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inor currencies - JPY, Yen,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 xml:space="preserve">$30.00 Other(USD, </w:t>
            </w:r>
            <w:proofErr w:type="spellStart"/>
            <w:r w:rsidRPr="00C02CBA">
              <w:rPr>
                <w:rFonts w:asciiTheme="minorHAnsi" w:hAnsiTheme="minorHAnsi"/>
                <w:sz w:val="16"/>
                <w:szCs w:val="18"/>
              </w:rPr>
              <w:t>etc</w:t>
            </w:r>
            <w:proofErr w:type="spellEnd"/>
            <w:r w:rsidRPr="00C02CBA">
              <w:rPr>
                <w:rFonts w:asciiTheme="minorHAnsi" w:hAnsiTheme="minorHAnsi"/>
                <w:sz w:val="16"/>
                <w:szCs w:val="18"/>
              </w:rPr>
              <w:t>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253721B3" w:rsidR="00A52043" w:rsidRPr="00A43E27" w:rsidRDefault="00A43E27" w:rsidP="00A52043">
            <w:pPr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</w:pPr>
            <w:r w:rsidRPr="00A43E27"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  <w:t>(Inward Documentary Collections)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07BA0ACC" w:rsidR="00A52043" w:rsidRPr="00803E37" w:rsidRDefault="001773E1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0.3% or $25.00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7645DD">
        <w:trPr>
          <w:trHeight w:val="69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7645DD">
        <w:trPr>
          <w:trHeight w:val="95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7645DD">
        <w:trPr>
          <w:trHeight w:val="213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43E27" w:rsidRPr="000D2CE2" w14:paraId="63468109" w14:textId="77777777" w:rsidTr="00A43E27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C827C37" w14:textId="5E863F39" w:rsidR="00A43E27" w:rsidRDefault="00A43E27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(n). Partial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E432BB" w14:textId="4DEEDCC1" w:rsidR="00A43E27" w:rsidRPr="00CA148A" w:rsidRDefault="00A43E27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B073B" w14:textId="3A244940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0.5% or $30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D106FF" w14:textId="588FF68D" w:rsidR="00A43E27" w:rsidRPr="00803E3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06570D" w14:textId="148E8499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A94857">
              <w:rPr>
                <w:rFonts w:asciiTheme="minorHAnsi" w:hAnsiTheme="minorHAnsi"/>
                <w:sz w:val="18"/>
                <w:szCs w:val="18"/>
              </w:rPr>
              <w:t xml:space="preserve">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7645DD" w:rsidRPr="004C7696" w14:paraId="42A3BE23" w14:textId="77777777" w:rsidTr="00D1632E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1F471D" w14:textId="77777777" w:rsidR="007645DD" w:rsidRPr="004C7696" w:rsidRDefault="007645DD" w:rsidP="00D1632E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F7FAFA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6421AF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6D20C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8E281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2D2D14E" w14:textId="77777777" w:rsidTr="007645DD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057077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7645DD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73D0C09A" w14:textId="77777777" w:rsidTr="007645DD">
        <w:trPr>
          <w:trHeight w:val="23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A52043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A52043" w:rsidRPr="00240411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0F39323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54ECA426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3F9C55B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A52043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A52043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ch</w:t>
            </w:r>
            <w:r w:rsidR="00221A4D">
              <w:rPr>
                <w:rFonts w:asciiTheme="minorHAnsi" w:hAnsiTheme="minorHAnsi"/>
                <w:sz w:val="18"/>
                <w:szCs w:val="18"/>
              </w:rPr>
              <w:t xml:space="preserve">eque </w:t>
            </w:r>
          </w:p>
        </w:tc>
      </w:tr>
      <w:tr w:rsidR="00A52043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5D526C6" w14:textId="12F53BA7" w:rsidR="00A52043" w:rsidRDefault="00CE1749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D3D3F1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A52043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DEA9E52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 w:rsidR="00B0610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sion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(T$20.00+T$10.00 if NZD/AUD/FJD).</w:t>
            </w:r>
          </w:p>
          <w:p w14:paraId="50CFA1A4" w14:textId="4621DA20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 w:rsidR="00B0610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sion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A52043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A52043" w:rsidRPr="00502D51" w:rsidRDefault="00A52043" w:rsidP="00A520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A52043" w:rsidRPr="007135C9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A37E277" w14:textId="77777777" w:rsidTr="007645DD">
        <w:trPr>
          <w:trHeight w:val="28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$30.00 + any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461427F" w14:textId="77777777" w:rsidTr="007645DD">
        <w:trPr>
          <w:trHeight w:val="53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7645DD">
        <w:trPr>
          <w:trHeight w:val="522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470FA8E6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lus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7645DD">
        <w:trPr>
          <w:trHeight w:val="1070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7645DD">
        <w:trPr>
          <w:trHeight w:val="467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3A795821" w:rsidR="00F37485" w:rsidRPr="0000665E" w:rsidRDefault="0000665E" w:rsidP="0000665E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5.. </w:t>
            </w:r>
            <w:r w:rsidR="00F37485" w:rsidRPr="0000665E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7645DD">
        <w:trPr>
          <w:trHeight w:val="557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6F086F47" w14:textId="246997DB" w:rsidR="001B6F22" w:rsidRPr="00F73639" w:rsidRDefault="0074113B" w:rsidP="007645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0066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1337AC"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7645DD">
        <w:trPr>
          <w:trHeight w:val="467"/>
        </w:trPr>
        <w:tc>
          <w:tcPr>
            <w:tcW w:w="3177" w:type="dxa"/>
          </w:tcPr>
          <w:p w14:paraId="4A47DB96" w14:textId="2A117A8C" w:rsidR="001B6F22" w:rsidRDefault="0074113B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Commercial Cash Management</w:t>
            </w:r>
          </w:p>
          <w:p w14:paraId="790E0AB8" w14:textId="19639488" w:rsidR="0003590D" w:rsidRPr="00F73639" w:rsidRDefault="0074113B" w:rsidP="00850DC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00665E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="001B6F22" w:rsidRPr="0074113B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2D2316E0" w:rsidR="0003590D" w:rsidRDefault="0074113B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1B6F22">
              <w:rPr>
                <w:rFonts w:asciiTheme="minorHAnsi" w:hAnsiTheme="minorHAnsi"/>
                <w:sz w:val="18"/>
                <w:szCs w:val="18"/>
              </w:rPr>
              <w:t>ree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70F5652E" w14:textId="77777777" w:rsidTr="004A1AA6">
        <w:trPr>
          <w:trHeight w:val="503"/>
        </w:trPr>
        <w:tc>
          <w:tcPr>
            <w:tcW w:w="3177" w:type="dxa"/>
          </w:tcPr>
          <w:p w14:paraId="5B894BAA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Government Account/Non-Monetary</w:t>
            </w:r>
          </w:p>
          <w:p w14:paraId="053D6AF6" w14:textId="37084D1B" w:rsidR="0000665E" w:rsidRPr="0000665E" w:rsidRDefault="0000665E" w:rsidP="00F37485">
            <w:pPr>
              <w:ind w:left="252" w:hanging="25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8. Electronic transaction</w:t>
            </w:r>
          </w:p>
        </w:tc>
        <w:tc>
          <w:tcPr>
            <w:tcW w:w="1530" w:type="dxa"/>
          </w:tcPr>
          <w:p w14:paraId="4A898AC2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D255A" w14:textId="43AC1612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4CEBA32" w14:textId="1688D54B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C9FB76" w14:textId="223C9EB7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4C0BBE8" w14:textId="07CB5316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66003E17" w14:textId="77777777" w:rsidTr="004A1AA6">
        <w:trPr>
          <w:trHeight w:val="503"/>
        </w:trPr>
        <w:tc>
          <w:tcPr>
            <w:tcW w:w="3177" w:type="dxa"/>
          </w:tcPr>
          <w:p w14:paraId="4CDF0079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BSP First</w:t>
            </w:r>
          </w:p>
          <w:p w14:paraId="7FFEC550" w14:textId="5981F6B4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9.. Electronic transaction</w:t>
            </w:r>
          </w:p>
        </w:tc>
        <w:tc>
          <w:tcPr>
            <w:tcW w:w="1530" w:type="dxa"/>
          </w:tcPr>
          <w:p w14:paraId="5F858DE3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E48CD7" w14:textId="3236B4EE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9FBFAD5" w14:textId="47AF134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D2986B" w14:textId="784A849E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2E0EF3" w14:textId="423F3D2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545C5B5A" w14:textId="77777777" w:rsidTr="004A1AA6">
        <w:trPr>
          <w:trHeight w:val="503"/>
        </w:trPr>
        <w:tc>
          <w:tcPr>
            <w:tcW w:w="3177" w:type="dxa"/>
          </w:tcPr>
          <w:p w14:paraId="4D804922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CCA – Oceania Communication Ltd</w:t>
            </w:r>
          </w:p>
          <w:p w14:paraId="325AF2F0" w14:textId="59DE58FE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10.. Electronic transaction</w:t>
            </w:r>
          </w:p>
        </w:tc>
        <w:tc>
          <w:tcPr>
            <w:tcW w:w="1530" w:type="dxa"/>
          </w:tcPr>
          <w:p w14:paraId="433130B8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6C152" w14:textId="094D042A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7D34259" w14:textId="29C0F38D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7EA54F2F" w14:textId="65B019B3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6DBABD9" w14:textId="35C4AC78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2058F9CA" w:rsidR="00AF43BD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4A1AA6">
        <w:trPr>
          <w:trHeight w:val="692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6D1376F1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7645DD">
        <w:trPr>
          <w:trHeight w:val="548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368B1397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7645DD">
        <w:trPr>
          <w:trHeight w:val="773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1AC3D1D2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C539ED" w:rsidRPr="000D2CE2" w14:paraId="356DA254" w14:textId="77777777" w:rsidTr="00850DCF">
        <w:trPr>
          <w:trHeight w:val="485"/>
        </w:trPr>
        <w:tc>
          <w:tcPr>
            <w:tcW w:w="3177" w:type="dxa"/>
            <w:vAlign w:val="center"/>
          </w:tcPr>
          <w:p w14:paraId="5CC70658" w14:textId="485E9737" w:rsidR="00C539ED" w:rsidRPr="0074113B" w:rsidRDefault="00C539ED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Cash transaction – ATM withdrawal</w:t>
            </w:r>
          </w:p>
        </w:tc>
        <w:tc>
          <w:tcPr>
            <w:tcW w:w="1530" w:type="dxa"/>
            <w:vAlign w:val="center"/>
          </w:tcPr>
          <w:p w14:paraId="5A4B45BE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4BF79D2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B12111" w14:textId="6F62051D" w:rsidR="00C539ED" w:rsidRPr="00CE58F5" w:rsidRDefault="00C539ED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per transaction </w:t>
            </w:r>
          </w:p>
        </w:tc>
        <w:tc>
          <w:tcPr>
            <w:tcW w:w="1710" w:type="dxa"/>
            <w:vAlign w:val="center"/>
          </w:tcPr>
          <w:p w14:paraId="764E505B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7485" w:rsidRPr="000D2CE2" w14:paraId="6F287110" w14:textId="77777777" w:rsidTr="00B06109">
        <w:trPr>
          <w:trHeight w:val="467"/>
        </w:trPr>
        <w:tc>
          <w:tcPr>
            <w:tcW w:w="3177" w:type="dxa"/>
            <w:vAlign w:val="center"/>
          </w:tcPr>
          <w:p w14:paraId="0DA3D79A" w14:textId="2BEF7BC4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B06109">
        <w:trPr>
          <w:trHeight w:val="467"/>
        </w:trPr>
        <w:tc>
          <w:tcPr>
            <w:tcW w:w="3177" w:type="dxa"/>
            <w:vAlign w:val="center"/>
          </w:tcPr>
          <w:p w14:paraId="7D86624D" w14:textId="15167138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B06109">
        <w:trPr>
          <w:trHeight w:val="620"/>
        </w:trPr>
        <w:tc>
          <w:tcPr>
            <w:tcW w:w="3177" w:type="dxa"/>
          </w:tcPr>
          <w:p w14:paraId="4898AC37" w14:textId="05797D63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6F799749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340E29">
        <w:trPr>
          <w:trHeight w:val="575"/>
        </w:trPr>
        <w:tc>
          <w:tcPr>
            <w:tcW w:w="3177" w:type="dxa"/>
            <w:vAlign w:val="center"/>
          </w:tcPr>
          <w:p w14:paraId="536D136F" w14:textId="3700A735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340E29">
        <w:trPr>
          <w:trHeight w:val="530"/>
        </w:trPr>
        <w:tc>
          <w:tcPr>
            <w:tcW w:w="3177" w:type="dxa"/>
            <w:vAlign w:val="center"/>
          </w:tcPr>
          <w:p w14:paraId="53F86422" w14:textId="6721E63B" w:rsidR="00F37485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 xml:space="preserve">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50DCF" w:rsidRPr="00850DCF" w14:paraId="5311F581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7816A72A" w14:textId="77777777" w:rsidR="00850DCF" w:rsidRPr="00850DCF" w:rsidRDefault="00850DCF" w:rsidP="00850DCF">
            <w:pPr>
              <w:pStyle w:val="ListParagraph"/>
              <w:ind w:left="3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17F005" w14:textId="1DC677DB" w:rsidR="00850DCF" w:rsidRPr="00850DCF" w:rsidRDefault="00850DCF" w:rsidP="00AF43B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5FA9BC" w14:textId="27CE855F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FF7ACC" w14:textId="27F7A6F6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16B45D" w14:textId="724353A0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B809D2B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0E4F4BD6" w:rsidR="00F37485" w:rsidRDefault="0074113B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5BFE0117" w:rsidR="00D97A9C" w:rsidRPr="00AB49CA" w:rsidRDefault="0074113B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185E2A96" w:rsidR="007E592E" w:rsidRPr="00077E3B" w:rsidRDefault="007E592E" w:rsidP="00077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00BFB29D" w:rsidR="00D97A9C" w:rsidRPr="00AB49CA" w:rsidRDefault="0074113B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6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42EC2619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7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2616A833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8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27ABF34" w:rsidR="0003590D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9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152F29DC" w:rsidR="0003590D" w:rsidRDefault="00077E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3DC9E899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1FF9935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4113B">
              <w:rPr>
                <w:rFonts w:asciiTheme="minorHAnsi" w:hAnsiTheme="minorHAnsi"/>
                <w:sz w:val="18"/>
                <w:szCs w:val="18"/>
              </w:rPr>
              <w:t>2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66A61065" w:rsidR="0003590D" w:rsidRDefault="007411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4030B4B2" w:rsidR="00B956A4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FE08C3">
              <w:rPr>
                <w:rFonts w:asciiTheme="minorHAnsi" w:hAnsiTheme="minorHAnsi"/>
                <w:sz w:val="18"/>
                <w:szCs w:val="18"/>
              </w:rPr>
              <w:t>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DEE639E" w:rsidR="00CE5005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576947AB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082B5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1830792" w14:textId="03D93391" w:rsidR="003053A7" w:rsidRPr="00CA148A" w:rsidRDefault="003053A7" w:rsidP="007F49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55EA0036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082B54">
              <w:rPr>
                <w:rFonts w:asciiTheme="minorHAnsi" w:hAnsiTheme="minorHAnsi"/>
                <w:sz w:val="18"/>
                <w:szCs w:val="18"/>
              </w:rPr>
              <w:t>10.00 per bank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57078716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663C27CE" w:rsidR="001505CB" w:rsidRPr="00CA148A" w:rsidRDefault="009F332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$4.13 per transaction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BB196A">
        <w:trPr>
          <w:trHeight w:val="437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1C226E59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0460C3F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BB196A">
        <w:trPr>
          <w:trHeight w:val="482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4C580874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1100637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11C5033C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  <w:p w14:paraId="2DCCCFA4" w14:textId="62521037" w:rsidR="00BB196A" w:rsidRPr="00844AF3" w:rsidRDefault="00BB196A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(tap n go)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0716D0CA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115479F3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0D72B54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09A61D5F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  <w:tr w:rsidR="008308D8" w:rsidRPr="00844AF3" w14:paraId="2395E37B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A30551B" w14:textId="23AB8B96" w:rsidR="008308D8" w:rsidRPr="00844AF3" w:rsidRDefault="008308D8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Nonbank debit card withdrawal fee from bank ATM </w:t>
            </w:r>
          </w:p>
        </w:tc>
        <w:tc>
          <w:tcPr>
            <w:tcW w:w="1508" w:type="dxa"/>
            <w:vAlign w:val="center"/>
          </w:tcPr>
          <w:p w14:paraId="3B3DB75D" w14:textId="4BE6E39E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49B03A5C" w14:textId="500A6766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59" w:type="dxa"/>
            <w:vAlign w:val="center"/>
          </w:tcPr>
          <w:p w14:paraId="08BBB185" w14:textId="50064D64" w:rsidR="008308D8" w:rsidRPr="00844AF3" w:rsidRDefault="008308D8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NZ$4.00 per withdraw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77777777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38BD" w14:textId="77777777" w:rsidR="00E15CB8" w:rsidRDefault="00E15CB8" w:rsidP="00D97A9C">
      <w:r>
        <w:separator/>
      </w:r>
    </w:p>
  </w:endnote>
  <w:endnote w:type="continuationSeparator" w:id="0">
    <w:p w14:paraId="169F1EB5" w14:textId="77777777" w:rsidR="00E15CB8" w:rsidRDefault="00E15CB8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18F0DAFD" w:rsidR="00E75554" w:rsidRDefault="00AD6B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</w:t>
    </w:r>
    <w:r w:rsidR="00E75554">
      <w:rPr>
        <w:rFonts w:asciiTheme="majorHAnsi" w:hAnsiTheme="majorHAnsi"/>
      </w:rPr>
      <w:t xml:space="preserve"> 202</w:t>
    </w:r>
    <w:r w:rsidR="008C621D">
      <w:rPr>
        <w:rFonts w:asciiTheme="majorHAnsi" w:hAnsiTheme="majorHAnsi"/>
      </w:rPr>
      <w:t>2</w:t>
    </w:r>
    <w:r w:rsidR="00E75554">
      <w:rPr>
        <w:rFonts w:asciiTheme="majorHAnsi" w:hAnsiTheme="majorHAnsi"/>
      </w:rPr>
      <w:ptab w:relativeTo="margin" w:alignment="right" w:leader="none"/>
    </w:r>
    <w:r w:rsidR="00E75554">
      <w:rPr>
        <w:rFonts w:asciiTheme="majorHAnsi" w:hAnsiTheme="majorHAnsi"/>
      </w:rPr>
      <w:t xml:space="preserve">Page </w:t>
    </w:r>
    <w:r w:rsidR="00E75554">
      <w:fldChar w:fldCharType="begin"/>
    </w:r>
    <w:r w:rsidR="00E75554">
      <w:instrText xml:space="preserve"> PAGE   \* MERGEFORMAT </w:instrText>
    </w:r>
    <w:r w:rsidR="00E75554">
      <w:fldChar w:fldCharType="separate"/>
    </w:r>
    <w:r w:rsidR="00E75554" w:rsidRPr="009E70B2">
      <w:rPr>
        <w:rFonts w:asciiTheme="majorHAnsi" w:hAnsiTheme="majorHAnsi"/>
        <w:noProof/>
      </w:rPr>
      <w:t>20</w:t>
    </w:r>
    <w:r w:rsidR="00E75554"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A126" w14:textId="77777777" w:rsidR="00E15CB8" w:rsidRDefault="00E15CB8" w:rsidP="00D97A9C">
      <w:r>
        <w:separator/>
      </w:r>
    </w:p>
  </w:footnote>
  <w:footnote w:type="continuationSeparator" w:id="0">
    <w:p w14:paraId="122B58B7" w14:textId="77777777" w:rsidR="00E15CB8" w:rsidRDefault="00E15CB8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0BF"/>
    <w:multiLevelType w:val="hybridMultilevel"/>
    <w:tmpl w:val="4CDAA67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562"/>
    <w:multiLevelType w:val="hybridMultilevel"/>
    <w:tmpl w:val="3976B92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A76195C"/>
    <w:multiLevelType w:val="hybridMultilevel"/>
    <w:tmpl w:val="6F301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5" w15:restartNumberingAfterBreak="0">
    <w:nsid w:val="6F932E58"/>
    <w:multiLevelType w:val="hybridMultilevel"/>
    <w:tmpl w:val="2640C6F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897205091">
    <w:abstractNumId w:val="29"/>
  </w:num>
  <w:num w:numId="2" w16cid:durableId="1740784529">
    <w:abstractNumId w:val="33"/>
  </w:num>
  <w:num w:numId="3" w16cid:durableId="739601298">
    <w:abstractNumId w:val="17"/>
  </w:num>
  <w:num w:numId="4" w16cid:durableId="873496321">
    <w:abstractNumId w:val="26"/>
  </w:num>
  <w:num w:numId="5" w16cid:durableId="276522607">
    <w:abstractNumId w:val="39"/>
  </w:num>
  <w:num w:numId="6" w16cid:durableId="23138958">
    <w:abstractNumId w:val="34"/>
  </w:num>
  <w:num w:numId="7" w16cid:durableId="1648780801">
    <w:abstractNumId w:val="6"/>
  </w:num>
  <w:num w:numId="8" w16cid:durableId="1409420586">
    <w:abstractNumId w:val="37"/>
  </w:num>
  <w:num w:numId="9" w16cid:durableId="865366573">
    <w:abstractNumId w:val="4"/>
  </w:num>
  <w:num w:numId="10" w16cid:durableId="995721171">
    <w:abstractNumId w:val="36"/>
  </w:num>
  <w:num w:numId="11" w16cid:durableId="1634172796">
    <w:abstractNumId w:val="20"/>
  </w:num>
  <w:num w:numId="12" w16cid:durableId="1123692327">
    <w:abstractNumId w:val="24"/>
  </w:num>
  <w:num w:numId="13" w16cid:durableId="1743137178">
    <w:abstractNumId w:val="7"/>
  </w:num>
  <w:num w:numId="14" w16cid:durableId="1315525409">
    <w:abstractNumId w:val="5"/>
  </w:num>
  <w:num w:numId="15" w16cid:durableId="971406230">
    <w:abstractNumId w:val="19"/>
  </w:num>
  <w:num w:numId="16" w16cid:durableId="1722942227">
    <w:abstractNumId w:val="25"/>
  </w:num>
  <w:num w:numId="17" w16cid:durableId="1486164951">
    <w:abstractNumId w:val="12"/>
  </w:num>
  <w:num w:numId="18" w16cid:durableId="1716273515">
    <w:abstractNumId w:val="1"/>
  </w:num>
  <w:num w:numId="19" w16cid:durableId="1441224374">
    <w:abstractNumId w:val="16"/>
  </w:num>
  <w:num w:numId="20" w16cid:durableId="987635356">
    <w:abstractNumId w:val="13"/>
  </w:num>
  <w:num w:numId="21" w16cid:durableId="58328724">
    <w:abstractNumId w:val="27"/>
  </w:num>
  <w:num w:numId="22" w16cid:durableId="1329753980">
    <w:abstractNumId w:val="8"/>
  </w:num>
  <w:num w:numId="23" w16cid:durableId="1832139521">
    <w:abstractNumId w:val="10"/>
  </w:num>
  <w:num w:numId="24" w16cid:durableId="1626234379">
    <w:abstractNumId w:val="21"/>
  </w:num>
  <w:num w:numId="25" w16cid:durableId="620763272">
    <w:abstractNumId w:val="31"/>
  </w:num>
  <w:num w:numId="26" w16cid:durableId="1787002823">
    <w:abstractNumId w:val="3"/>
  </w:num>
  <w:num w:numId="27" w16cid:durableId="1514764636">
    <w:abstractNumId w:val="32"/>
  </w:num>
  <w:num w:numId="28" w16cid:durableId="1916236513">
    <w:abstractNumId w:val="18"/>
  </w:num>
  <w:num w:numId="29" w16cid:durableId="720207592">
    <w:abstractNumId w:val="28"/>
  </w:num>
  <w:num w:numId="30" w16cid:durableId="423038942">
    <w:abstractNumId w:val="22"/>
  </w:num>
  <w:num w:numId="31" w16cid:durableId="1125082409">
    <w:abstractNumId w:val="0"/>
  </w:num>
  <w:num w:numId="32" w16cid:durableId="1385328305">
    <w:abstractNumId w:val="15"/>
  </w:num>
  <w:num w:numId="33" w16cid:durableId="302926763">
    <w:abstractNumId w:val="38"/>
  </w:num>
  <w:num w:numId="34" w16cid:durableId="1362130013">
    <w:abstractNumId w:val="11"/>
  </w:num>
  <w:num w:numId="35" w16cid:durableId="1589189548">
    <w:abstractNumId w:val="14"/>
  </w:num>
  <w:num w:numId="36" w16cid:durableId="1970626128">
    <w:abstractNumId w:val="9"/>
  </w:num>
  <w:num w:numId="37" w16cid:durableId="2059696495">
    <w:abstractNumId w:val="30"/>
  </w:num>
  <w:num w:numId="38" w16cid:durableId="218248742">
    <w:abstractNumId w:val="23"/>
  </w:num>
  <w:num w:numId="39" w16cid:durableId="338191710">
    <w:abstractNumId w:val="2"/>
  </w:num>
  <w:num w:numId="40" w16cid:durableId="206891730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12CA"/>
    <w:rsid w:val="000030F2"/>
    <w:rsid w:val="0000665E"/>
    <w:rsid w:val="0000728A"/>
    <w:rsid w:val="000139F4"/>
    <w:rsid w:val="000233A4"/>
    <w:rsid w:val="00024027"/>
    <w:rsid w:val="00025496"/>
    <w:rsid w:val="00026160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77E3B"/>
    <w:rsid w:val="00082B54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69F8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29D"/>
    <w:rsid w:val="00147626"/>
    <w:rsid w:val="001505CB"/>
    <w:rsid w:val="00153120"/>
    <w:rsid w:val="001534F9"/>
    <w:rsid w:val="001676E1"/>
    <w:rsid w:val="001760B9"/>
    <w:rsid w:val="001773E1"/>
    <w:rsid w:val="00180C47"/>
    <w:rsid w:val="0019687D"/>
    <w:rsid w:val="001A0695"/>
    <w:rsid w:val="001A44EF"/>
    <w:rsid w:val="001A53A4"/>
    <w:rsid w:val="001A7287"/>
    <w:rsid w:val="001B0360"/>
    <w:rsid w:val="001B0714"/>
    <w:rsid w:val="001B446A"/>
    <w:rsid w:val="001B44DB"/>
    <w:rsid w:val="001B6F22"/>
    <w:rsid w:val="001C1A0F"/>
    <w:rsid w:val="001C51BA"/>
    <w:rsid w:val="001D166C"/>
    <w:rsid w:val="001D26F5"/>
    <w:rsid w:val="001D6BE4"/>
    <w:rsid w:val="001E3A50"/>
    <w:rsid w:val="001F2546"/>
    <w:rsid w:val="001F2A2B"/>
    <w:rsid w:val="001F7993"/>
    <w:rsid w:val="001F7F43"/>
    <w:rsid w:val="0020428A"/>
    <w:rsid w:val="00204AC9"/>
    <w:rsid w:val="002070AE"/>
    <w:rsid w:val="002116FF"/>
    <w:rsid w:val="002134DE"/>
    <w:rsid w:val="00216A3C"/>
    <w:rsid w:val="00221340"/>
    <w:rsid w:val="00221A4D"/>
    <w:rsid w:val="00221BC9"/>
    <w:rsid w:val="00223D72"/>
    <w:rsid w:val="002326C4"/>
    <w:rsid w:val="002345A6"/>
    <w:rsid w:val="002366CC"/>
    <w:rsid w:val="00240411"/>
    <w:rsid w:val="00265527"/>
    <w:rsid w:val="00271ED7"/>
    <w:rsid w:val="00273EC2"/>
    <w:rsid w:val="00274594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263DB"/>
    <w:rsid w:val="00333420"/>
    <w:rsid w:val="0033707B"/>
    <w:rsid w:val="00340E29"/>
    <w:rsid w:val="0034314C"/>
    <w:rsid w:val="00354534"/>
    <w:rsid w:val="003549B6"/>
    <w:rsid w:val="00360876"/>
    <w:rsid w:val="00361CA7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662"/>
    <w:rsid w:val="003E0A33"/>
    <w:rsid w:val="003E221A"/>
    <w:rsid w:val="003E3D81"/>
    <w:rsid w:val="003E52A8"/>
    <w:rsid w:val="003F1A86"/>
    <w:rsid w:val="0040656F"/>
    <w:rsid w:val="00417048"/>
    <w:rsid w:val="004272EE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A31BD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53B1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85006"/>
    <w:rsid w:val="00690A47"/>
    <w:rsid w:val="006952ED"/>
    <w:rsid w:val="006A18F4"/>
    <w:rsid w:val="006A27F1"/>
    <w:rsid w:val="006B295E"/>
    <w:rsid w:val="006B7CD1"/>
    <w:rsid w:val="006C1137"/>
    <w:rsid w:val="006C3B40"/>
    <w:rsid w:val="006D0BCB"/>
    <w:rsid w:val="006D70AE"/>
    <w:rsid w:val="006E31DA"/>
    <w:rsid w:val="006F756D"/>
    <w:rsid w:val="0070415F"/>
    <w:rsid w:val="00704984"/>
    <w:rsid w:val="007135C9"/>
    <w:rsid w:val="00715D6C"/>
    <w:rsid w:val="007171DF"/>
    <w:rsid w:val="00717D59"/>
    <w:rsid w:val="00720538"/>
    <w:rsid w:val="00734C32"/>
    <w:rsid w:val="0074113B"/>
    <w:rsid w:val="0074166A"/>
    <w:rsid w:val="007426E8"/>
    <w:rsid w:val="00747863"/>
    <w:rsid w:val="007501EB"/>
    <w:rsid w:val="00752049"/>
    <w:rsid w:val="00753E87"/>
    <w:rsid w:val="00761AED"/>
    <w:rsid w:val="00761C1C"/>
    <w:rsid w:val="007624ED"/>
    <w:rsid w:val="007645DD"/>
    <w:rsid w:val="0076570A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022B"/>
    <w:rsid w:val="007A06C3"/>
    <w:rsid w:val="007A129B"/>
    <w:rsid w:val="007A40CE"/>
    <w:rsid w:val="007B010C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396A"/>
    <w:rsid w:val="007C7A65"/>
    <w:rsid w:val="007D5B03"/>
    <w:rsid w:val="007E0E55"/>
    <w:rsid w:val="007E592E"/>
    <w:rsid w:val="007F1744"/>
    <w:rsid w:val="007F3234"/>
    <w:rsid w:val="007F49C5"/>
    <w:rsid w:val="00803A32"/>
    <w:rsid w:val="00803E37"/>
    <w:rsid w:val="00805BBA"/>
    <w:rsid w:val="008117DA"/>
    <w:rsid w:val="00813E6C"/>
    <w:rsid w:val="00823D98"/>
    <w:rsid w:val="008240F9"/>
    <w:rsid w:val="00825D22"/>
    <w:rsid w:val="008307C2"/>
    <w:rsid w:val="008308D8"/>
    <w:rsid w:val="008314D6"/>
    <w:rsid w:val="008318E7"/>
    <w:rsid w:val="00832167"/>
    <w:rsid w:val="00844AF3"/>
    <w:rsid w:val="00847EFD"/>
    <w:rsid w:val="00850DCF"/>
    <w:rsid w:val="00851FB0"/>
    <w:rsid w:val="00856DA1"/>
    <w:rsid w:val="0086007A"/>
    <w:rsid w:val="0086290B"/>
    <w:rsid w:val="00864960"/>
    <w:rsid w:val="00866B36"/>
    <w:rsid w:val="008801FC"/>
    <w:rsid w:val="00891D81"/>
    <w:rsid w:val="008A0997"/>
    <w:rsid w:val="008A662E"/>
    <w:rsid w:val="008B2626"/>
    <w:rsid w:val="008C621D"/>
    <w:rsid w:val="008E4731"/>
    <w:rsid w:val="008E4AE8"/>
    <w:rsid w:val="008F401F"/>
    <w:rsid w:val="008F5E15"/>
    <w:rsid w:val="008F7EDE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78DA"/>
    <w:rsid w:val="009825E7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3C68"/>
    <w:rsid w:val="009D57D9"/>
    <w:rsid w:val="009E70B2"/>
    <w:rsid w:val="009F0D80"/>
    <w:rsid w:val="009F3323"/>
    <w:rsid w:val="009F6003"/>
    <w:rsid w:val="009F74CC"/>
    <w:rsid w:val="00A014DB"/>
    <w:rsid w:val="00A13F16"/>
    <w:rsid w:val="00A32903"/>
    <w:rsid w:val="00A359B7"/>
    <w:rsid w:val="00A35C79"/>
    <w:rsid w:val="00A363C2"/>
    <w:rsid w:val="00A36AB7"/>
    <w:rsid w:val="00A37329"/>
    <w:rsid w:val="00A42A64"/>
    <w:rsid w:val="00A43E27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D6BFC"/>
    <w:rsid w:val="00AE0A26"/>
    <w:rsid w:val="00AE0FC5"/>
    <w:rsid w:val="00AE7003"/>
    <w:rsid w:val="00AE7B1F"/>
    <w:rsid w:val="00AF43BD"/>
    <w:rsid w:val="00AF7F20"/>
    <w:rsid w:val="00B021D7"/>
    <w:rsid w:val="00B06109"/>
    <w:rsid w:val="00B10AD7"/>
    <w:rsid w:val="00B121F3"/>
    <w:rsid w:val="00B155C9"/>
    <w:rsid w:val="00B1781E"/>
    <w:rsid w:val="00B22AC8"/>
    <w:rsid w:val="00B238CA"/>
    <w:rsid w:val="00B23912"/>
    <w:rsid w:val="00B3007D"/>
    <w:rsid w:val="00B3025A"/>
    <w:rsid w:val="00B318DC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2DBD"/>
    <w:rsid w:val="00BA359F"/>
    <w:rsid w:val="00BB06DB"/>
    <w:rsid w:val="00BB196A"/>
    <w:rsid w:val="00BB217E"/>
    <w:rsid w:val="00BB3411"/>
    <w:rsid w:val="00BC195D"/>
    <w:rsid w:val="00BD4F6D"/>
    <w:rsid w:val="00BF6076"/>
    <w:rsid w:val="00BF693D"/>
    <w:rsid w:val="00C02CBA"/>
    <w:rsid w:val="00C119C5"/>
    <w:rsid w:val="00C12199"/>
    <w:rsid w:val="00C16CED"/>
    <w:rsid w:val="00C20FE2"/>
    <w:rsid w:val="00C2230A"/>
    <w:rsid w:val="00C2723E"/>
    <w:rsid w:val="00C3135F"/>
    <w:rsid w:val="00C32F7C"/>
    <w:rsid w:val="00C37F1C"/>
    <w:rsid w:val="00C416E5"/>
    <w:rsid w:val="00C423CF"/>
    <w:rsid w:val="00C5358B"/>
    <w:rsid w:val="00C539ED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749"/>
    <w:rsid w:val="00CE1F54"/>
    <w:rsid w:val="00CE5005"/>
    <w:rsid w:val="00CE58F5"/>
    <w:rsid w:val="00CF3491"/>
    <w:rsid w:val="00D0458F"/>
    <w:rsid w:val="00D124ED"/>
    <w:rsid w:val="00D14463"/>
    <w:rsid w:val="00D15632"/>
    <w:rsid w:val="00D16FD5"/>
    <w:rsid w:val="00D30003"/>
    <w:rsid w:val="00D35EEE"/>
    <w:rsid w:val="00D37247"/>
    <w:rsid w:val="00D41B9A"/>
    <w:rsid w:val="00D4321A"/>
    <w:rsid w:val="00D43B1D"/>
    <w:rsid w:val="00D45AAB"/>
    <w:rsid w:val="00D47642"/>
    <w:rsid w:val="00D56157"/>
    <w:rsid w:val="00D561BD"/>
    <w:rsid w:val="00D576BD"/>
    <w:rsid w:val="00D6052D"/>
    <w:rsid w:val="00D60ACF"/>
    <w:rsid w:val="00D637F1"/>
    <w:rsid w:val="00D71A91"/>
    <w:rsid w:val="00D741AE"/>
    <w:rsid w:val="00D763AD"/>
    <w:rsid w:val="00D77BB9"/>
    <w:rsid w:val="00D80585"/>
    <w:rsid w:val="00D82F8B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15CB8"/>
    <w:rsid w:val="00E20F4B"/>
    <w:rsid w:val="00E21062"/>
    <w:rsid w:val="00E21E3A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5554"/>
    <w:rsid w:val="00E75F96"/>
    <w:rsid w:val="00E8008F"/>
    <w:rsid w:val="00E80B2A"/>
    <w:rsid w:val="00EA1C7A"/>
    <w:rsid w:val="00EA5147"/>
    <w:rsid w:val="00EA5EB9"/>
    <w:rsid w:val="00EB2CD8"/>
    <w:rsid w:val="00EC2DFC"/>
    <w:rsid w:val="00EC2FAB"/>
    <w:rsid w:val="00ED1B26"/>
    <w:rsid w:val="00ED3E83"/>
    <w:rsid w:val="00ED734F"/>
    <w:rsid w:val="00EE18C4"/>
    <w:rsid w:val="00EE2B8E"/>
    <w:rsid w:val="00EE3D6F"/>
    <w:rsid w:val="00EE754C"/>
    <w:rsid w:val="00EF345B"/>
    <w:rsid w:val="00EF3887"/>
    <w:rsid w:val="00EF5D2F"/>
    <w:rsid w:val="00EF5F3F"/>
    <w:rsid w:val="00F06DF5"/>
    <w:rsid w:val="00F11A0C"/>
    <w:rsid w:val="00F175BC"/>
    <w:rsid w:val="00F22158"/>
    <w:rsid w:val="00F25B58"/>
    <w:rsid w:val="00F260F5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1009"/>
    <w:rsid w:val="00FA3E28"/>
    <w:rsid w:val="00FA45ED"/>
    <w:rsid w:val="00FA6D34"/>
    <w:rsid w:val="00FB0697"/>
    <w:rsid w:val="00FB0EB2"/>
    <w:rsid w:val="00FB60CB"/>
    <w:rsid w:val="00FB7638"/>
    <w:rsid w:val="00FC5797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5</cp:revision>
  <cp:lastPrinted>2019-03-28T21:14:00Z</cp:lastPrinted>
  <dcterms:created xsi:type="dcterms:W3CDTF">2022-07-19T21:09:00Z</dcterms:created>
  <dcterms:modified xsi:type="dcterms:W3CDTF">2022-07-19T21:32:00Z</dcterms:modified>
</cp:coreProperties>
</file>